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0A06B9C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C46908">
        <w:rPr>
          <w:rFonts w:cs="Arial"/>
          <w:bCs/>
          <w:noProof w:val="0"/>
          <w:sz w:val="24"/>
          <w:szCs w:val="24"/>
        </w:rPr>
        <w:t>4</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1B554E">
        <w:rPr>
          <w:rFonts w:cs="Arial"/>
          <w:bCs/>
          <w:noProof w:val="0"/>
          <w:sz w:val="24"/>
          <w:szCs w:val="24"/>
        </w:rPr>
        <w:t>3145</w:t>
      </w:r>
    </w:p>
    <w:bookmarkEnd w:id="0"/>
    <w:p w14:paraId="5669B020" w14:textId="7E8723CC" w:rsidR="004C654E" w:rsidRPr="000665EA" w:rsidRDefault="00C46908" w:rsidP="004C654E">
      <w:pPr>
        <w:pStyle w:val="Header"/>
        <w:tabs>
          <w:tab w:val="left" w:pos="2410"/>
        </w:tabs>
        <w:rPr>
          <w:rFonts w:eastAsia="MS Mincho" w:cs="Arial"/>
          <w:sz w:val="24"/>
          <w:szCs w:val="24"/>
        </w:rPr>
      </w:pPr>
      <w:r>
        <w:rPr>
          <w:rFonts w:eastAsia="MS Mincho" w:cs="Arial"/>
          <w:sz w:val="24"/>
          <w:szCs w:val="24"/>
        </w:rPr>
        <w:t>Fukuoka, Japan</w:t>
      </w:r>
      <w:r w:rsidR="00FC5FE8" w:rsidRPr="000665EA">
        <w:rPr>
          <w:rFonts w:eastAsia="MS Mincho" w:cs="Arial"/>
          <w:sz w:val="24"/>
          <w:szCs w:val="24"/>
        </w:rPr>
        <w:t xml:space="preserve">, </w:t>
      </w:r>
      <w:r>
        <w:rPr>
          <w:rFonts w:eastAsia="MS Mincho" w:cs="Arial"/>
          <w:sz w:val="24"/>
          <w:szCs w:val="24"/>
        </w:rPr>
        <w:t>20</w:t>
      </w:r>
      <w:r w:rsidR="00AA2C0D">
        <w:rPr>
          <w:rFonts w:eastAsia="MS Mincho" w:cs="Arial"/>
          <w:sz w:val="24"/>
          <w:szCs w:val="24"/>
        </w:rPr>
        <w:t xml:space="preserve"> – </w:t>
      </w:r>
      <w:r>
        <w:rPr>
          <w:rFonts w:eastAsia="MS Mincho" w:cs="Arial"/>
          <w:sz w:val="24"/>
          <w:szCs w:val="24"/>
        </w:rPr>
        <w:t>24</w:t>
      </w:r>
      <w:r w:rsidR="00AA2C0D">
        <w:rPr>
          <w:rFonts w:eastAsia="MS Mincho" w:cs="Arial"/>
          <w:sz w:val="24"/>
          <w:szCs w:val="24"/>
        </w:rPr>
        <w:t xml:space="preserve"> </w:t>
      </w:r>
      <w:r>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696AA20D"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1B554E">
        <w:rPr>
          <w:rFonts w:cs="Arial"/>
          <w:b/>
          <w:bCs/>
          <w:sz w:val="24"/>
        </w:rPr>
        <w:t>10.3.1</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4050D6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63046">
        <w:rPr>
          <w:rFonts w:ascii="Arial" w:hAnsi="Arial" w:cs="Arial"/>
          <w:b/>
          <w:bCs/>
          <w:sz w:val="24"/>
        </w:rPr>
        <w:t>Further discussion on MRO enhancements for NTN deployments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1DB6AF6C" w:rsidR="005E3D0F" w:rsidRDefault="00723395" w:rsidP="008572DC">
      <w:bookmarkStart w:id="1" w:name="_Toc474247438"/>
      <w:r>
        <w:t>At RAN3 #123-bis meeting, the first discussion on SON for NTN took place. It was concluded that:</w:t>
      </w:r>
    </w:p>
    <w:p w14:paraId="1B95561E" w14:textId="77777777" w:rsidR="00723395" w:rsidRPr="00963BE1" w:rsidRDefault="00723395" w:rsidP="00723395">
      <w:pPr>
        <w:widowControl w:val="0"/>
        <w:ind w:left="144" w:hanging="144"/>
        <w:rPr>
          <w:rFonts w:ascii="Calibri" w:hAnsi="Calibri" w:cs="Calibri"/>
          <w:b/>
          <w:color w:val="008000"/>
          <w:sz w:val="18"/>
        </w:rPr>
      </w:pPr>
      <w:r w:rsidRPr="00963BE1">
        <w:rPr>
          <w:rFonts w:ascii="Calibri" w:hAnsi="Calibri" w:cs="Calibri"/>
          <w:b/>
          <w:color w:val="008000"/>
          <w:sz w:val="18"/>
        </w:rPr>
        <w:t xml:space="preserve">Logged </w:t>
      </w:r>
      <w:r w:rsidRPr="00963BE1">
        <w:rPr>
          <w:rFonts w:ascii="Calibri" w:hAnsi="Calibri" w:cs="Calibri" w:hint="eastAsia"/>
          <w:b/>
          <w:color w:val="008000"/>
          <w:sz w:val="18"/>
        </w:rPr>
        <w:t>M</w:t>
      </w:r>
      <w:r w:rsidRPr="00963BE1">
        <w:rPr>
          <w:rFonts w:ascii="Calibri" w:hAnsi="Calibri" w:cs="Calibri"/>
          <w:b/>
          <w:color w:val="008000"/>
          <w:sz w:val="18"/>
        </w:rPr>
        <w:t>DT enhancement based on scenarios to be worked first, work on immediate MDT if time allows</w:t>
      </w:r>
      <w:r>
        <w:rPr>
          <w:rFonts w:ascii="Calibri" w:hAnsi="Calibri" w:cs="Calibri"/>
          <w:b/>
          <w:color w:val="008000"/>
          <w:sz w:val="18"/>
        </w:rPr>
        <w:t>.</w:t>
      </w:r>
    </w:p>
    <w:p w14:paraId="4B158C3F" w14:textId="77777777" w:rsidR="00723395" w:rsidRPr="00541C69" w:rsidRDefault="00723395" w:rsidP="00723395">
      <w:pPr>
        <w:widowControl w:val="0"/>
        <w:ind w:left="144" w:hanging="144"/>
        <w:rPr>
          <w:rFonts w:ascii="Calibri" w:hAnsi="Calibri" w:cs="Calibri"/>
          <w:b/>
          <w:color w:val="008000"/>
          <w:sz w:val="18"/>
        </w:rPr>
      </w:pPr>
      <w:r w:rsidRPr="00541C69">
        <w:rPr>
          <w:rFonts w:ascii="Calibri" w:hAnsi="Calibri" w:cs="Calibri"/>
          <w:b/>
          <w:color w:val="008000"/>
          <w:sz w:val="18"/>
        </w:rPr>
        <w:t>MRO mechanisms for intra-NTN should be addressed based on failure scenarios first, work on near failure scenarios later.</w:t>
      </w:r>
    </w:p>
    <w:p w14:paraId="074F8531" w14:textId="06EA880D" w:rsidR="00723395" w:rsidRPr="000665EA" w:rsidRDefault="00723395" w:rsidP="008572DC">
      <w:r>
        <w:t>In this paper, we address the 2</w:t>
      </w:r>
      <w:r w:rsidRPr="00723395">
        <w:rPr>
          <w:vertAlign w:val="superscript"/>
        </w:rPr>
        <w:t>nd</w:t>
      </w:r>
      <w:r>
        <w:t xml:space="preserve"> aspect, i.e. we discuss how an MRO mechanism to address failure scenarios should be </w:t>
      </w:r>
      <w:proofErr w:type="gramStart"/>
      <w:r>
        <w:t>enhance</w:t>
      </w:r>
      <w:proofErr w:type="gramEnd"/>
      <w:r>
        <w:t xml:space="preserve"> to take into account specific features of NTN deployments.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52B9CC3" w14:textId="29C382CC" w:rsidR="000069A2" w:rsidRDefault="00E809F4" w:rsidP="000069A2">
      <w:r>
        <w:t>As discussed in [1], i</w:t>
      </w:r>
      <w:r w:rsidR="000069A2">
        <w:t xml:space="preserve">n classic networks, MRO monitors executed handovers and enables reporting failed or </w:t>
      </w:r>
      <w:proofErr w:type="gramStart"/>
      <w:r w:rsidR="000069A2">
        <w:t>nearly-failed</w:t>
      </w:r>
      <w:proofErr w:type="gramEnd"/>
      <w:r w:rsidR="000069A2">
        <w:t xml:space="preserve"> executions to the source nodes. Those, after accumulating necessary statistics, can possibly apply necessary action. MRO also helps filtering out failures that are not caused by the mobility settings and thus avoid unnecessary corrections. This mechanism has always </w:t>
      </w:r>
      <w:proofErr w:type="gramStart"/>
      <w:r w:rsidR="000069A2">
        <w:t>been based on the assumption</w:t>
      </w:r>
      <w:proofErr w:type="gramEnd"/>
      <w:r w:rsidR="000069A2">
        <w:t xml:space="preserve">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7529970A" w14:textId="77777777" w:rsidR="000069A2" w:rsidRDefault="000069A2" w:rsidP="000069A2">
      <w:r>
        <w:t xml:space="preserve">In case of NTN, the cell moves in a perfectly predictable manner while UE mobility can be considered negligible. Handovers are therefore based not on radio signal reporting but rather on timing. The latter does not mean a handover cannot </w:t>
      </w:r>
      <w:proofErr w:type="gramStart"/>
      <w:r>
        <w:t>fail:</w:t>
      </w:r>
      <w:proofErr w:type="gramEnd"/>
      <w:r>
        <w:t xml:space="preserve">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57944F4C" w14:textId="0DF6349A" w:rsidR="000069A2" w:rsidRPr="000D104A" w:rsidRDefault="000069A2" w:rsidP="000069A2">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57039105" w14:textId="47F23C53" w:rsidR="008559D6" w:rsidRDefault="009F7D62" w:rsidP="008559D6">
      <w:r>
        <w:t xml:space="preserve">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w:t>
      </w:r>
      <w:r w:rsidR="00956824">
        <w:t xml:space="preserve">a cell may not even have time to collect the statistics). And the next cell over the concerned area will have to start </w:t>
      </w:r>
      <w:r w:rsidR="0026153A">
        <w:t xml:space="preserve">the same </w:t>
      </w:r>
      <w:r w:rsidR="00956824">
        <w:t>MRO adaptation anew, while UEs will suffer.</w:t>
      </w:r>
    </w:p>
    <w:p w14:paraId="12A0E9F1" w14:textId="20C92BFB" w:rsidR="00956824" w:rsidRPr="00956824" w:rsidRDefault="00956824" w:rsidP="008559D6">
      <w:pPr>
        <w:rPr>
          <w:b/>
          <w:bCs/>
        </w:rPr>
      </w:pPr>
      <w:r w:rsidRPr="00956824">
        <w:rPr>
          <w:b/>
          <w:bCs/>
        </w:rPr>
        <w:t xml:space="preserve">Observation 1: In case of moving cells and local propagation changes, each cell </w:t>
      </w:r>
      <w:proofErr w:type="gramStart"/>
      <w:r w:rsidRPr="00956824">
        <w:rPr>
          <w:b/>
          <w:bCs/>
        </w:rPr>
        <w:t>has to</w:t>
      </w:r>
      <w:proofErr w:type="gramEnd"/>
      <w:r w:rsidRPr="00956824">
        <w:rPr>
          <w:b/>
          <w:bCs/>
        </w:rPr>
        <w:t xml:space="preserve"> start </w:t>
      </w:r>
      <w:r w:rsidR="0026153A">
        <w:rPr>
          <w:b/>
          <w:bCs/>
        </w:rPr>
        <w:t xml:space="preserve">similar </w:t>
      </w:r>
      <w:r w:rsidRPr="00956824">
        <w:rPr>
          <w:b/>
          <w:bCs/>
        </w:rPr>
        <w:t>MRO analysis anew, which limits the effectiveness of the MRO mechanism.</w:t>
      </w:r>
    </w:p>
    <w:p w14:paraId="38573EE7" w14:textId="54F2A307" w:rsidR="00956824" w:rsidRDefault="00956824" w:rsidP="008559D6">
      <w:r>
        <w:t xml:space="preserve">There is the Mobility Setting Change procedure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w:t>
      </w:r>
      <w:r w:rsidR="00F42721">
        <w:t xml:space="preserve">benefits: the Mobility Setting Change does not offer any information on the background, only the triggering change. </w:t>
      </w:r>
    </w:p>
    <w:p w14:paraId="3097B0AC" w14:textId="6C41EAC9" w:rsidR="00BC18AD" w:rsidRDefault="00BC18AD" w:rsidP="008559D6">
      <w:r>
        <w:t>In addition, the Mobility Setting Change procedure is poorly adapted to the conditional handovers, where the preparation of the HO and HO triggering are separated (and, in NTN, based rather on time than radio conditions).</w:t>
      </w:r>
    </w:p>
    <w:p w14:paraId="6FE318C1" w14:textId="31912E3D" w:rsidR="00F42721" w:rsidRPr="00F42721" w:rsidRDefault="00F42721" w:rsidP="008559D6">
      <w:pPr>
        <w:rPr>
          <w:b/>
          <w:bCs/>
        </w:rPr>
      </w:pPr>
      <w:r w:rsidRPr="00F42721">
        <w:rPr>
          <w:b/>
          <w:bCs/>
        </w:rPr>
        <w:lastRenderedPageBreak/>
        <w:t xml:space="preserve">Observation 2: The existing Mobility Setting Change procedure is insufficient to </w:t>
      </w:r>
      <w:proofErr w:type="gramStart"/>
      <w:r w:rsidRPr="00F42721">
        <w:rPr>
          <w:b/>
          <w:bCs/>
        </w:rPr>
        <w:t>transfer effectively</w:t>
      </w:r>
      <w:proofErr w:type="gramEnd"/>
      <w:r w:rsidRPr="00F42721">
        <w:rPr>
          <w:b/>
          <w:bCs/>
        </w:rPr>
        <w:t xml:space="preserve"> information about MRO adaptations</w:t>
      </w:r>
      <w:r w:rsidR="00914A33">
        <w:rPr>
          <w:b/>
          <w:bCs/>
        </w:rPr>
        <w:t xml:space="preserve"> in NTN deployments</w:t>
      </w:r>
      <w:r w:rsidRPr="00F42721">
        <w:rPr>
          <w:b/>
          <w:bCs/>
        </w:rPr>
        <w:t>.</w:t>
      </w:r>
    </w:p>
    <w:p w14:paraId="1CCE7459" w14:textId="1669F536" w:rsidR="00F42721" w:rsidRDefault="008D36A2" w:rsidP="008559D6">
      <w:r>
        <w:t>The information that needs to be provided to the neighbour is location of the UE(s) for which adaptation of the mobility setting is applied, possibly also more details about the modified CHO condition for the affected UE(s). This will enable the neighbour to handle the same UEs when the next cell border moves on.</w:t>
      </w:r>
    </w:p>
    <w:p w14:paraId="268A7E1E" w14:textId="2FC391A0" w:rsidR="008D36A2" w:rsidRPr="008D36A2" w:rsidRDefault="008D36A2" w:rsidP="008559D6">
      <w:pPr>
        <w:rPr>
          <w:b/>
          <w:bCs/>
        </w:rPr>
      </w:pPr>
      <w:r w:rsidRPr="008D36A2">
        <w:rPr>
          <w:b/>
          <w:bCs/>
        </w:rPr>
        <w:t xml:space="preserve">Proposal 2: Either the Mobility Setting Change or another procedure is enhanced to provide per-UE adaptation of the CHO configuration and the UE location to the next cell serving the area where </w:t>
      </w:r>
      <w:r w:rsidR="005728B7">
        <w:rPr>
          <w:b/>
          <w:bCs/>
        </w:rPr>
        <w:t xml:space="preserve">similar </w:t>
      </w:r>
      <w:r w:rsidRPr="008D36A2">
        <w:rPr>
          <w:b/>
          <w:bCs/>
        </w:rPr>
        <w:t>MRO adaptation is needed.</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3D119BA0" w:rsidR="002F4257" w:rsidRDefault="002F4257" w:rsidP="00D20DF3">
      <w:pPr>
        <w:jc w:val="both"/>
        <w:rPr>
          <w:bCs/>
        </w:rPr>
      </w:pPr>
      <w:r>
        <w:rPr>
          <w:bCs/>
        </w:rPr>
        <w:t xml:space="preserve">In this paper, </w:t>
      </w:r>
      <w:r w:rsidR="00E809F4">
        <w:rPr>
          <w:bCs/>
        </w:rPr>
        <w:t>we discuss deficiencies of the classic MRO mechanism in case of moving cells, as it happens in NTN deployments. First, we remind the proposal from [1]:</w:t>
      </w:r>
    </w:p>
    <w:p w14:paraId="75546105" w14:textId="77777777" w:rsidR="00E809F4" w:rsidRPr="000D104A" w:rsidRDefault="00E809F4" w:rsidP="00E809F4">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42B22350" w14:textId="74B9D359" w:rsidR="00E809F4" w:rsidRDefault="00E809F4" w:rsidP="00D20DF3">
      <w:pPr>
        <w:jc w:val="both"/>
        <w:rPr>
          <w:bCs/>
        </w:rPr>
      </w:pPr>
      <w:r>
        <w:rPr>
          <w:bCs/>
        </w:rPr>
        <w:t>Then, we move forward and make following observations:</w:t>
      </w:r>
    </w:p>
    <w:p w14:paraId="17F7519D" w14:textId="77777777" w:rsidR="001B554E" w:rsidRPr="00956824" w:rsidRDefault="001B554E" w:rsidP="001B554E">
      <w:pPr>
        <w:rPr>
          <w:b/>
          <w:bCs/>
        </w:rPr>
      </w:pPr>
      <w:r w:rsidRPr="00956824">
        <w:rPr>
          <w:b/>
          <w:bCs/>
        </w:rPr>
        <w:t xml:space="preserve">Observation 1: In case of moving cells and local propagation changes, each cell </w:t>
      </w:r>
      <w:proofErr w:type="gramStart"/>
      <w:r w:rsidRPr="00956824">
        <w:rPr>
          <w:b/>
          <w:bCs/>
        </w:rPr>
        <w:t>has to</w:t>
      </w:r>
      <w:proofErr w:type="gramEnd"/>
      <w:r w:rsidRPr="00956824">
        <w:rPr>
          <w:b/>
          <w:bCs/>
        </w:rPr>
        <w:t xml:space="preserve"> start </w:t>
      </w:r>
      <w:r>
        <w:rPr>
          <w:b/>
          <w:bCs/>
        </w:rPr>
        <w:t xml:space="preserve">similar </w:t>
      </w:r>
      <w:r w:rsidRPr="00956824">
        <w:rPr>
          <w:b/>
          <w:bCs/>
        </w:rPr>
        <w:t>MRO analysis anew, which limits the effectiveness of the MRO mechanism.</w:t>
      </w:r>
    </w:p>
    <w:p w14:paraId="0602B47A" w14:textId="77777777" w:rsidR="001B554E" w:rsidRPr="00F42721" w:rsidRDefault="001B554E" w:rsidP="001B554E">
      <w:pPr>
        <w:rPr>
          <w:b/>
          <w:bCs/>
        </w:rPr>
      </w:pPr>
      <w:r w:rsidRPr="00F42721">
        <w:rPr>
          <w:b/>
          <w:bCs/>
        </w:rPr>
        <w:t xml:space="preserve">Observation 2: The existing Mobility Setting Change procedure is insufficient to </w:t>
      </w:r>
      <w:proofErr w:type="gramStart"/>
      <w:r w:rsidRPr="00F42721">
        <w:rPr>
          <w:b/>
          <w:bCs/>
        </w:rPr>
        <w:t>transfer effectively</w:t>
      </w:r>
      <w:proofErr w:type="gramEnd"/>
      <w:r w:rsidRPr="00F42721">
        <w:rPr>
          <w:b/>
          <w:bCs/>
        </w:rPr>
        <w:t xml:space="preserve"> information about MRO adaptations</w:t>
      </w:r>
      <w:r>
        <w:rPr>
          <w:b/>
          <w:bCs/>
        </w:rPr>
        <w:t xml:space="preserve"> in NTN deployments</w:t>
      </w:r>
      <w:r w:rsidRPr="00F42721">
        <w:rPr>
          <w:b/>
          <w:bCs/>
        </w:rPr>
        <w:t>.</w:t>
      </w:r>
    </w:p>
    <w:p w14:paraId="1C7B2CAE" w14:textId="655623C7" w:rsidR="00E809F4" w:rsidRDefault="001B554E" w:rsidP="00D20DF3">
      <w:pPr>
        <w:jc w:val="both"/>
        <w:rPr>
          <w:bCs/>
        </w:rPr>
      </w:pPr>
      <w:r>
        <w:rPr>
          <w:bCs/>
        </w:rPr>
        <w:t>They enable us to make the final proposal:</w:t>
      </w:r>
    </w:p>
    <w:p w14:paraId="1816988C" w14:textId="5510D28D" w:rsidR="001B554E" w:rsidRPr="001B554E" w:rsidRDefault="001B554E" w:rsidP="001B554E">
      <w:pPr>
        <w:rPr>
          <w:b/>
          <w:bCs/>
        </w:rPr>
      </w:pPr>
      <w:r w:rsidRPr="008D36A2">
        <w:rPr>
          <w:b/>
          <w:bCs/>
        </w:rPr>
        <w:t xml:space="preserve">Proposal 2: Either the Mobility Setting Change or another procedure is enhanced to provide per-UE adaptation of the CHO configuration and the UE location to the next cell serving the area where </w:t>
      </w:r>
      <w:r>
        <w:rPr>
          <w:b/>
          <w:bCs/>
        </w:rPr>
        <w:t xml:space="preserve">similar </w:t>
      </w:r>
      <w:r w:rsidRPr="008D36A2">
        <w:rPr>
          <w:b/>
          <w:bCs/>
        </w:rPr>
        <w:t>MRO adaptation is needed.</w:t>
      </w:r>
    </w:p>
    <w:p w14:paraId="483F8717" w14:textId="77777777" w:rsidR="00403B9B" w:rsidRPr="000665EA" w:rsidRDefault="00403B9B" w:rsidP="00403B9B">
      <w:pPr>
        <w:pStyle w:val="Heading1"/>
      </w:pPr>
      <w:r w:rsidRPr="000665EA">
        <w:t>References</w:t>
      </w:r>
    </w:p>
    <w:p w14:paraId="65C3740D" w14:textId="49D4EBD9" w:rsidR="002F4257" w:rsidRPr="000665EA" w:rsidRDefault="00E809F4" w:rsidP="008A3464">
      <w:pPr>
        <w:numPr>
          <w:ilvl w:val="0"/>
          <w:numId w:val="4"/>
        </w:numPr>
        <w:overflowPunct w:val="0"/>
        <w:autoSpaceDE w:val="0"/>
        <w:autoSpaceDN w:val="0"/>
        <w:adjustRightInd w:val="0"/>
        <w:textAlignment w:val="baseline"/>
      </w:pPr>
      <w:r>
        <w:t>R3-241559, RAN3 #123-bis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834" w14:textId="77777777" w:rsidR="009A134D" w:rsidRDefault="009A134D">
      <w:r>
        <w:separator/>
      </w:r>
    </w:p>
  </w:endnote>
  <w:endnote w:type="continuationSeparator" w:id="0">
    <w:p w14:paraId="3E353FE8" w14:textId="77777777" w:rsidR="009A134D" w:rsidRDefault="009A134D">
      <w:r>
        <w:continuationSeparator/>
      </w:r>
    </w:p>
  </w:endnote>
  <w:endnote w:type="continuationNotice" w:id="1">
    <w:p w14:paraId="373FBB9F" w14:textId="77777777" w:rsidR="009A134D" w:rsidRDefault="009A1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0E2A" w14:textId="77777777" w:rsidR="009A134D" w:rsidRDefault="009A134D">
      <w:r>
        <w:separator/>
      </w:r>
    </w:p>
  </w:footnote>
  <w:footnote w:type="continuationSeparator" w:id="0">
    <w:p w14:paraId="42B0B2F8" w14:textId="77777777" w:rsidR="009A134D" w:rsidRDefault="009A134D">
      <w:r>
        <w:continuationSeparator/>
      </w:r>
    </w:p>
  </w:footnote>
  <w:footnote w:type="continuationNotice" w:id="1">
    <w:p w14:paraId="043BDACC" w14:textId="77777777" w:rsidR="009A134D" w:rsidRDefault="009A13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19"/>
  </w:num>
  <w:num w:numId="2" w16cid:durableId="1325889781">
    <w:abstractNumId w:val="29"/>
  </w:num>
  <w:num w:numId="3" w16cid:durableId="1574008939">
    <w:abstractNumId w:val="14"/>
  </w:num>
  <w:num w:numId="4" w16cid:durableId="1234775468">
    <w:abstractNumId w:val="9"/>
  </w:num>
  <w:num w:numId="5" w16cid:durableId="1444763253">
    <w:abstractNumId w:val="10"/>
  </w:num>
  <w:num w:numId="6" w16cid:durableId="1469472348">
    <w:abstractNumId w:val="37"/>
  </w:num>
  <w:num w:numId="7" w16cid:durableId="123275557">
    <w:abstractNumId w:val="24"/>
  </w:num>
  <w:num w:numId="8" w16cid:durableId="1128008256">
    <w:abstractNumId w:val="15"/>
  </w:num>
  <w:num w:numId="9" w16cid:durableId="1423840149">
    <w:abstractNumId w:val="36"/>
  </w:num>
  <w:num w:numId="10" w16cid:durableId="1824349208">
    <w:abstractNumId w:val="23"/>
  </w:num>
  <w:num w:numId="11" w16cid:durableId="1397623785">
    <w:abstractNumId w:val="13"/>
  </w:num>
  <w:num w:numId="12" w16cid:durableId="1929000652">
    <w:abstractNumId w:val="31"/>
  </w:num>
  <w:num w:numId="13" w16cid:durableId="899681234">
    <w:abstractNumId w:val="32"/>
  </w:num>
  <w:num w:numId="14" w16cid:durableId="1654260041">
    <w:abstractNumId w:val="30"/>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8"/>
  </w:num>
  <w:num w:numId="25" w16cid:durableId="692803473">
    <w:abstractNumId w:val="26"/>
  </w:num>
  <w:num w:numId="26" w16cid:durableId="265969315">
    <w:abstractNumId w:val="16"/>
  </w:num>
  <w:num w:numId="27" w16cid:durableId="2116705214">
    <w:abstractNumId w:val="20"/>
  </w:num>
  <w:num w:numId="28" w16cid:durableId="1051540479">
    <w:abstractNumId w:val="34"/>
  </w:num>
  <w:num w:numId="29" w16cid:durableId="838499363">
    <w:abstractNumId w:val="35"/>
  </w:num>
  <w:num w:numId="30" w16cid:durableId="550112542">
    <w:abstractNumId w:val="25"/>
  </w:num>
  <w:num w:numId="31" w16cid:durableId="1736466177">
    <w:abstractNumId w:val="22"/>
  </w:num>
  <w:num w:numId="32" w16cid:durableId="280385660">
    <w:abstractNumId w:val="17"/>
  </w:num>
  <w:num w:numId="33" w16cid:durableId="981617863">
    <w:abstractNumId w:val="27"/>
  </w:num>
  <w:num w:numId="34" w16cid:durableId="1913150918">
    <w:abstractNumId w:val="12"/>
  </w:num>
  <w:num w:numId="35" w16cid:durableId="2048289712">
    <w:abstractNumId w:val="11"/>
  </w:num>
  <w:num w:numId="36" w16cid:durableId="1171486525">
    <w:abstractNumId w:val="33"/>
  </w:num>
  <w:num w:numId="37" w16cid:durableId="1258097089">
    <w:abstractNumId w:val="21"/>
  </w:num>
  <w:num w:numId="38" w16cid:durableId="899294452">
    <w:abstractNumId w:val="28"/>
  </w:num>
  <w:num w:numId="39" w16cid:durableId="1632204940">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9A2"/>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554E"/>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4950"/>
    <w:rsid w:val="001F10EA"/>
    <w:rsid w:val="001F168B"/>
    <w:rsid w:val="001F2287"/>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153A"/>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352"/>
    <w:rsid w:val="00520A53"/>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728B7"/>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339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36A2"/>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4A33"/>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824"/>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134D"/>
    <w:rsid w:val="009A3264"/>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9F7D62"/>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23"/>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38D3"/>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8AD"/>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6908"/>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9F4"/>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721"/>
    <w:rsid w:val="00F42D7E"/>
    <w:rsid w:val="00F4454A"/>
    <w:rsid w:val="00F456C3"/>
    <w:rsid w:val="00F50F3A"/>
    <w:rsid w:val="00F54760"/>
    <w:rsid w:val="00F54A3D"/>
    <w:rsid w:val="00F56DDF"/>
    <w:rsid w:val="00F57E74"/>
    <w:rsid w:val="00F609E8"/>
    <w:rsid w:val="00F62A26"/>
    <w:rsid w:val="00F6304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54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RBI5PAMIO524-1616901215-21124</_dlc_DocId>
    <_dlc_DocIdUrl xmlns="71c5aaf6-e6ce-465b-b873-5148d2a4c105">
      <Url>https://nokia.sharepoint.com/sites/gxp/_layouts/15/DocIdRedir.aspx?ID=RBI5PAMIO524-1616901215-21124</Url>
      <Description>RBI5PAMIO524-1616901215-21124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E9646-F259-416D-9D43-D700262B6B18}">
  <ds:schemaRefs>
    <ds:schemaRef ds:uri="Microsoft.SharePoint.Taxonomy.ContentTypeSync"/>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08662B3-A6DB-4DE5-BAF3-F4554BF86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2</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MRO enhancements for NTN deployments</dc:title>
  <dc:subject>3GPP RAN3 #124</dc:subject>
  <dc:creator>Benoist Sébire</dc:creator>
  <cp:keywords>&lt;keyword[, keyword, ]&gt;</cp:keywords>
  <dc:description/>
  <cp:lastModifiedBy>Nokia</cp:lastModifiedBy>
  <cp:revision>5</cp:revision>
  <cp:lastPrinted>2019-03-27T07:16:00Z</cp:lastPrinted>
  <dcterms:created xsi:type="dcterms:W3CDTF">2024-05-08T14:22:00Z</dcterms:created>
  <dcterms:modified xsi:type="dcterms:W3CDTF">2024-05-09T10:49:00Z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39342235-1761-4aba-a62a-615b68fed29c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